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2006/195, IV 2007/122 vom 29. August 2007</w:t>
      </w:r>
    </w:p>
    <w:p>
      <w:r>
        <w:t>Sg Versicherungsgericht, 2007-08-29, DE</w:t>
      </w:r>
    </w:p>
    <w:p>
      <w:r>
        <w:rPr>
          <w:b/>
        </w:rPr>
        <w:t xml:space="preserve">Quelle: </w:t>
      </w:r>
      <w:r>
        <w:t>https://mcp.opencaselaw.ch/entscheid/sg_publikationen_IV 2006_195, IV 2007_122</w:t>
      </w:r>
    </w:p>
    <w:p>
      <w:r>
        <w:t>FR: SG_VERSICHERUNGSGERICHT IV 2006/195, IV 2007/122 du 29 août 2007</w:t>
      </w:r>
    </w:p>
    <w:p>
      <w:r>
        <w:t>IT: SG_VERSICHERUNGSGERICHT IV 2006/195, IV 2007/122 del 29 agosto 2007</w:t>
      </w:r>
    </w:p>
    <w:p>
      <w:pPr>
        <w:pStyle w:val="Heading2"/>
      </w:pPr>
      <w:r>
        <w:t>Regeste</w:t>
      </w:r>
    </w:p>
    <w:p>
      <w:r>
        <w:t>Art. 17 Abs. 1 IVG Umschulung. Art. 18 Abs. 1 Satz 1 IVG Arbeitsvermittlung (Entscheid des Versicherungsgerichts des Kantons St. Gallen vom 29. August 2007, IV 2006/195 und IV 2007/122).</w:t>
      </w:r>
    </w:p>
    <w:p>
      <w:pPr>
        <w:pStyle w:val="Heading2"/>
      </w:pPr>
      <w:r>
        <w:t>Erwägungen</w:t>
      </w:r>
    </w:p>
    <w:p>
      <w:r>
        <w:rPr>
          <w:b/>
        </w:rPr>
        <w:t>E. 1</w:t>
      </w:r>
    </w:p>
    <w:p>
      <w:r>
        <w:t>Die Beschwerdeverfahren IV 2006/195 und IV 2007/122 weisen dieselben Parteien auf, sie decken sich weitgehend sowohl in bezug auf den Sachverhalt als auch in bezug auf das relevante Rechtsverhältnis. Es rechtfertigt sich deshalb aus verfahrensökonomischen Gründen, die beiden Beschwerden in einem Urteil zu erledigen.</w:t>
      </w:r>
    </w:p>
    <w:p>
      <w:r>
        <w:rPr>
          <w:b/>
        </w:rPr>
        <w:t>E. 2</w:t>
      </w:r>
    </w:p>
    <w:p>
      <w:r>
        <w:t>Entsprechend der - von der Beschwerdegegnerin nicht in Abrede gestellten - Sachverhaltsschilderung des Beschwerdeführers ist ein Gesuch um eine Kapitalhilfe gemäss Art. 18 Abs. 2 IVG während der bis 30. April 2006 dauernden Einarbeitung bei der Firma D.___ gestellt und von der Beschwerdegegnerin formwidrig (telephonisch) abgewiesen worden. Soweit der Beschwerdeführer in seiner Beschwerde vom 28. September 2006 sinngemäss die Aufhebung dieser formwidrigen Abweisungsverfügung beantragt, kann auf sein Begehren nicht eingetreten werden. Gemäss der lit. a der Übergangsbestimmungen zur Änderung des IVG vom 16. Dezember 2005 gilt nämlich bisheriges Recht für die im Inkrafttretenszeitpunkt (1. Juli 2006) bereits erlassenen, aber noch nicht rechtskräftigen Verfügungen. Dies muss auch für formwidrig erlassene Verfügungen gelten. Art. 69 Abs. 1 IVG in der seit dem 1. Juli 2006 geltenden Fassung ist deshalb nicht anwendbar, d.h. das gegen die formwidrige Verfügung zu erhebende Rechtsmittel ist gemäss Art. 52 ATSG die Einsprache. Das Gericht kann somit nicht auf das entsprechende Begehren des Beschwerdeführers eintreten. Das Begehren um die Zusprache einer Kapitalhilfe ist als Einsprache zuständigkeitshalber der Beschwerdegegnerin zur Behandlung zu überweisen.</w:t>
      </w:r>
    </w:p>
    <w:p>
      <w:r>
        <w:rPr>
          <w:b/>
        </w:rPr>
        <w:t>E. 3</w:t>
      </w:r>
    </w:p>
    <w:p>
      <w:r>
        <w:t>a) Am 12. Dezember 2002 hat die Beschwerdegegnerin dem Beschwerdeführer eine Umschulung zum technischen Kaufmann mit eidgenössischem Fachausweis bewilligt. Der Beschwerdeführer hat zwar die entsprechende Ausbildung absolviert, er hat dann aber die Prüfung zur Erlangung des eidgenössischen Fachausweises im Oktober 2004 nicht bestanden. Er ist nicht nochmals zur Prüfung angetreten, sondern er hat mit Hilfe der Beschwerdegegnerin und des RAV eine Stelle als technischer Kaufmann gesucht und zwei Einarbeitungen absolviert. Erst in seiner Stellungnahme vom 7. August 2006 zum Vorbescheid vom 12. Juli 2006 hat er sinngemäss wieder geltend gemacht, er habe einen Anspruch auf eine Wiederholung der Prüfung zur Erlangung des eidgenössischen Fachausweises. Damit hat der Beschwerdeführer nur eine ihm am 12. Dezember 2002 formell rechtskräftig zugesprochene Leistung beansprucht. Die Beschwerdegegnerin hat einen Anspruch auf eine Wiederholung dieser Prüfung mit der angefochtenen Verfügung vom 7. September 2006 verneint. Sie hat dies sinngemäss damit begründet, dass der Beschwerdeführer den eidgenössischen Fachausweis gar nicht benötige, weil er aufgrund seines Wissens und seiner Erfahrung als Koch in Kombination mit der Ausbildung zum technischen Kaufmann ausreichend qualifiziert sei. Die Beschwerdegegnerin vertritt also sinngemäss die Auffassung, auch ohne den eidgenössischen Fachausweis sei der Beschwerdeführer in einen Beruf umgeschult, der dem ursprünglich erlernten Beruf gleichwertig sei. Allerdings muss sie dabei einräumen, dass diese Gleichwertigkeit wohl auf die Gastronomie- und die Lebensmittelbranche beschränkt ist, da der Beschwerdeführer das berufliche Wissen als Koch nur in diesem Ausschnitt aus dem Arbeitsmarkt für technische Kaufleute anwenden kann. b) Da dem Beschwerdeführer ausdrücklich eine Umschulung zum technischen Kaufmann mit eidgenössischem Fachausweis zugesprochen worden ist, stellt die am 7. September 2006 verfügte Verweigerung der Weiterführung der Umschulung bis zur Erlangung des eidgenössischen Fachausweises eine Modifikation der formell rechtskräftigen Verfügung vom 12. Dezember 2002 dar. Bei dem vom Beschwerdeführer ursprünglich erlernten Beruf handelt es sich ganz offensichtlich nicht um eine neue Tatsache im Sinne vom Art. 53 Abs. 1 ATSG. Die besondere Qualifikation des Beschwerdeführers durch die Kombination von Kochausbildung und -erfahrung mit dem Beruf des technischen Kaufmanns ist keine nachträgliche Sachverhaltsveränderung im Sinne von Art. 17 Abs. 2 ATSG. Die Arbeitsmarktsituation hat sich zwar seit Dezember 2002 erheblich verbessert, was aber nicht den Schluss zulässt, dass der Beschwerdeführer nun, anders als noch im Jahr 2002, des eidgenössischen Fachausweises nicht mehr bedürfe, weil nun auch ältere, berufsunerfahrene Kaufleute selbst dann ohne weiteres eine Arbeitsstelle fänden, wenn sie keinen eidgenössischen Fachausweis vorweisen könnten. In der Verbesserung der Arbeitsmarktlage kann also keine leistungserhebliche nachträgliche Sachverhaltsveränderung gemäss Art. 17 Abs. 2 ATSG erblickt werden. Deshalb kann die am 7. September 2006 verfügte Modifikation der Verfügung vom 12. Dezember 2002 nur eine Teilwiedererwägung (Art. 53 Abs. 2 ATSG) jener Verfügung sein. c) Die Wiedererwägung setzt eine zweifellose Unrichtigkeit der zu korrigierenden formell rechtskräftigen Verfügung voraus. Diese Bedingung ist im vorliegenden Fall nicht erfüllt, denn es war am 12. Dezember 2002 trotz des beruflichen Wissens und Könnens des Beschwerdeführers als Koch sinnvoll, eine Umschulung zum technischen Kaufmann bis zur Erlangung des eidgenössischen Fachausweises durchzuführen, weil damit die Gleichwertigkeit des neuen mit dem früher erlernten Beruf für alle Branchen und nicht nur für die Gastronomie- und Lebensmittelbranche zu erreichen war. Angesichts des altersbedingten Wettbewerbsnachteils und angesichts der am 12. Dezember 2002 noch ungünstigen Arbeitsmarktlage war es vertretbar, dem Beschwerdeführer mit dem eidgenössischen Fachausweis den gesamten Arbeitsmarkt für Kaufleute zu öffnen. Damit erweist sich die angefochtene Verfügung, soweit sie eine Teilwiedererwägung der formell rechtskräftigen Verfügung vom 12. Dezember 2002 beinhaltet, als rechtswidrig. Diesbezüglich ist die angefochtene Verfügung aufzuheben. Dass der Beschwerdeführer am 1. April 2007 seinen Wohnsitz ins Ausland verlegt hat, kann daran nichts ändern, denn nur die Sachverhaltsentwicklung bis zum Erlass der angefochtenen Verfügung bildet Gegenstand der gerichtlichen Beurteilung (vgl. etwa BGE 121 V 362 ff. Erw. 1b m.H.). Zudem enthält Art. 9 Abs. 1 IVG kein Verbot, im Ausland lebenden Versicherten Eingliederungsmassnahmen zu gewähren. Es ist lediglich unzulässig, im Ausland Eingliederungsmassnahmen zu erbringen. Der Beschwerdeführer wäre also weiterhin berechtigt, sich in der Schweiz auf die Prüfung zur Erlangung des eidgenössischen Fachausweises vorzubereiten und diese Prüfung dann hier abzulegen, wozu er wohl seinen Wohnsitz nicht zurück in die Schweiz verlegen müsste. Die Beschwerdegegnerin wird deshalb zu prüfen haben, ob der Anspruch des Beschwerdeführers auf eine Weiterführung der Umschulung bis zur Erlangung des eidgenössischen Fachausweises, der am 7. September 2006 noch bestanden hat, durch die nachträgliche, nicht Gegenstand der gerichtlichen Beurteilung bildenden Sachverhaltsentwicklung allenfalls weggefallen ist.</w:t>
      </w:r>
    </w:p>
    <w:p>
      <w:r>
        <w:rPr>
          <w:b/>
        </w:rPr>
        <w:t>E. 4</w:t>
      </w:r>
    </w:p>
    <w:p>
      <w:r>
        <w:t>a) In der Verfügung vom 12. Dezember 2002 ist die an die Umschulung anschliessende Arbeitsvermittlung nicht erwähnt worden. Trotzdem hat die Beschwerdegegnerin dem Beschwerdeführer im Anschluss an die Umschulung zum technischen Kaufmann Arbeitsvermittlungsleistungen erbracht. Verfahrensrechtliche Grundlage dieser Leistungen bildet demnach eine formlose Leistungszusprache gemäss Art. 74ter lit. b IVV. Bei beruflichen Eingliederungsmassnahmen besteht grundsätzlich - anders als etwa bei Invalidenrenten oder Hilflosenentschädigungen - keine Notwendigkeit, die Leistungseinstellung in Anwendung von Art. 17 Abs. 2 ATSG zu verfügen, denn es handelt sich um zeitlich beschränkte Dauerleistungen, d.h. der Leistungsanspruch erlischt ohne weiteres mit dem Erreichen des Leistungszwecks. Eine - formlos zugesprochene - Arbeitsvermittlung endet ohne weiteres mit dem Antritt einer geeigneten Arbeitsstelle. Sollen die Arbeitsvermittlungsbemühungen allerdings abgebrochen werden, bevor der Leistungszweck erreicht ist, d.h. bevor die stellenlose versicherte Person eine geeignete Arbeitsstelle gefunden hat, so muss gestützt auf Art. 17 Abs. 2 ATSG eine Einstellungsverfügung erlassen werden, denn in diesem Fall lässt sich das Ende der Leistungspflicht ja nicht auf die leistungszusprechende Verfügung bzw. auf die dort enthaltene Definition des konkreten Leistungszwecks stützen. Die vorzeitige revisionsweise Einstellung der Arbeitsvermittlung setzt den Eintritt einer leistungserheblichen Sachverhaltsveränderung voraus. Eine solche Sachverhaltsveränderung wäre etwa der Eintritt einer voraussichtlich langdauernden Arbeitsunfähigkeit der stellensuchenden versicherten Person. b) Mit der angefochtenen Verfügung vom 7. September 2006 hat die Beschwerdegegnerin den Abschluss der beruflichen Eingliederung angeordnet. Damit hat sie nicht nur weitere Umschulungsmassnahmen, sondern auch weitere Arbeitsvermittlungsbemühungen für den zu diesem Zeitpunkt nach wie vor stellenlosen Beschwerdeführer verweigert. Dabei kann es sich nicht um eine revisionsweise Einstellung der Arbeitsvermittlungsbemühungen handeln, denn es ist keine leistungserhebliche Sachverhaltsveränderung eingetreten und die Beschwerdegegnerin hat zur Begründung der angefochtenen Verfügung lediglich geltend gemacht, weder bestehe eine durch eine Gesundheitsbeeinträchtigung bewirkte Einschränkung in der Arbeitsfähigkeit noch lägen behinderungsbedingte Schwierigkeiten bei der Stellensuche vor. Sinngemäss macht die Beschwerdegegnerin also geltend, der Beschwerdeführer habe nie einen Anspruch auf eine Arbeitsvermittlung gehabt, weil er nie leistungsspezifisch invalid gewesen sei. Da diese Umstände bereits bei Beginn der Arbeitsvermittlungsbemühungen bekannt waren, liegt keine prozessuale Revision (Art. 53 Abs. 1 ATSG), sondern eine Wiedererwägung (Art. 53 Abs. 2 ATSG) der - formlosen - Leistungszusprache vor. c) Die Wiedererwägung setzt eine zweifellose Unrichtigkeit der formlosen Zusprache der Arbeitsvermittlung voraus. Die höchstrichterliche Rechtsprechung will nur dann eine arbeitsvermittlungsspezifische Invalidität anerkennen, wenn die versicherte Person behinderungsbedingt besondere Schwierigkeiten bei der Stellensuche hat, wenn sie behinderungsbedingt besondere Anforderungen an den Arbeitsplatz oder den Arbeitgeber stellen muss oder wenn sie nicht voll arbeitsfähig ist (vgl. das Urteil des Bundesgerichts vom 24. März 2006, I 427 u. 458/05, Erw. 4.1.). Ob diese Rechtsprechung auch auf jene Versicherten anwendbar ist, die nach einer Umschulung eine Arbeitsstelle suchen, ist zu bezweifeln, denn bei der Arbeitsvermittlung handelt es sich um den notwendigen letzten Schritt der beruflichen Eingliederung. Diese Fälle unterscheiden sich deshalb grundlegend von denjenigen, in denen bisher körperlich schwer belastete Hilfsarbeiter durch eine Gesundheitsbeeinträchtigung dazu gezwungen werden, sich auf leichte, zu 100% zumutbare Hilfsarbeiten zu beschränken und deshalb eine neue Arbeitsstelle zu suchen. In der Verwaltungspraxis wird mit Selbstverständlichkeit auch jenen - umgeschulten - Versicherten eine Arbeitsvermittlung gewährt, die nicht im Sinne der genannten höchstrichterlichen Rechtsprechung invalid sind. Angesichts dieser Verwaltungspraxis und angesichts der Notwendigkeit der Arbeitsvermittlung als Abschluss der Umschulung kann nicht davon ausgegangen werden, dass im vorliegenden Fall die formlose Ausrichtung von Arbeitsvermittlungsleistungen zweifellos unrichtig gewesen ist. Die angefochtene Verfügung erweist sich demnach auch in bezug auf die Wiedererwägung der formlosen Gewährung der Arbeitsvermittlung als rechtswidrig. Sie ist deshalb insoweit aufzuheben, als sie weitere Arbeitsvermittlungsbemühungen verweigern will. d) Auch im Zusammenhang mit der Arbeitsvermittlung muss gelten, dass nur die Sachverhaltsentwicklung bis zum Erlass der angefochtenen Verfügung Gegenstand der gerichtlichen Beurteilung bildet (vgl. etwa BGE 121 V 362 ff. Erw. 1b m.H.). Der Wegzug des Beschwerdeführers nach Deutschland per 1. April 2007 ist deshalb nicht relevant. Im übrigen schliesst Art. 9 Abs. 1 IVG es nicht aus, einer versicherten Person, die ihren zivilrechtlichen Wohnsitz im Ausland hat, in der Schweiz eine Arbeitsstelle zu suchen. Diese Person könnte nämlich als Grenzgängerin oder als Wochenaufenthalterin in der Schweiz einer Erwerbstätigkeit nachgehen. Unzulässig wäre es wohl nur, für die versicherte Person im Ausland eine Arbeitsstelle zu suchen. Im übrigen hat der Beschwerdeführer die Bereitschaft bekundet, bei einer Wiederaufnahme der Eingliederungsbemühungen durch die Beschwerdegegnerin den Wohnsitz wieder in die Schweiz zu verlegen.</w:t>
      </w:r>
    </w:p>
    <w:p>
      <w:r>
        <w:rPr>
          <w:b/>
        </w:rPr>
        <w:t>E. 5</w:t>
      </w:r>
    </w:p>
    <w:p>
      <w:r>
        <w:t>Die Verfügung vom 22. Februar 2007 beruht auf der Annahme der Beschwerdegegnerin, der Beschwerdeführer habe erst nach dem Erlass der Verfügung vom 7. September 2006 seine Stelle bei der Firma C.___ verloren, sein in der Beschwerde vom 28. September 2006 gestelltes Begehren um Arbeitsvermittlung sei deshalb ein neues Leistungsgesuch, das durch die Beschwerdegegnerin und nicht durch das Gericht zu behandeln sei. Tatsächlich war der Beschwerdeführer bereits wieder arbeitslos, als die Verfügung vom 7. September 2006 erging. Mit dieser Verfügung verweigerte die Beschwerdegegnerin also im Ergebnis die Arbeitsvermittlung nach dem Verlust der Arbeitsstelle bei der Firma C.___. Da die Arbeitslosigkeit des Beschwerdeführers andauerte und da sich auch sonst keine leistungserhebliche Sachverhaltsveränderung einstellte, entspricht die Verfügung vom 22. Februar 2007 inhaltlich dem sich auf die Arbeitsvermittlung beziehenden Teil der (Wiedererwägungs-) Verfügung vom 7. September 2006. Die Beschwerdegegnerin hat damit demnach mit der Verfügung vom 22. Februar 2007 nochmals die im Anschluss an die Ausbildung in der BVS formlos erfolgte Zusprache von Arbeitsvermittlungsleistungen wiedererwägungsweise aufgehoben. Da die Zuständigkeit zur Beurteilung des Anspruchs des Beschwerdeführers auf Arbeitsvermittlung spätestens mit der Beschwerdeantwort der Beschwerdegegnerin vom 19. Oktober 2006 auf das Gericht übergegangen war, fehlte der Beschwerdegegnerin die Zuständigkeit zum Erlass einer Verfügung betreffend einen allfälligen Arbeitsvermittlungsanspruch des Beschwerdeführers. Die fehlende Zuständigkeit hat die Nichtigkeit der Verfügung vom 22. Februar 2007 zur Folge, denn wenn diese Verfügung nur anfechtbar gewesen wäre, hätte die Gefahr eines unauflösbaren Widerspruchs zum Urteil betreffend die Verfügung vom 7. September 2006 bestanden. Es ist deshalb gerichtlich festzustellen, dass die Verfügung vom 22. Februar 2007 nichtig ist.</w:t>
      </w:r>
    </w:p>
    <w:p>
      <w:r>
        <w:rPr>
          <w:b/>
        </w:rPr>
        <w:t>E. 6</w:t>
      </w:r>
    </w:p>
    <w:p>
      <w:r>
        <w:t>Das Begehren um die Zusprache einer Kapitalhilfe wird zuständigkeitshalber der Beschwerdegegnerin zur erstinstanzlichen Behandlung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